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5976"/>
      </w:tblGrid>
      <w:tr w:rsidR="00F65D24" w:rsidTr="00A96BA7">
        <w:trPr>
          <w:trHeight w:val="1374"/>
        </w:trPr>
        <w:tc>
          <w:tcPr>
            <w:tcW w:w="3648" w:type="dxa"/>
          </w:tcPr>
          <w:p w:rsidR="00F65D24" w:rsidRPr="007307B7" w:rsidRDefault="00F65D24" w:rsidP="00A9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7B7">
              <w:rPr>
                <w:rFonts w:ascii="Times New Roman" w:hAnsi="Times New Roman" w:cs="Times New Roman"/>
                <w:sz w:val="24"/>
                <w:szCs w:val="24"/>
              </w:rPr>
              <w:t>пл.Кошута</w:t>
            </w:r>
            <w:proofErr w:type="spellEnd"/>
            <w:r w:rsidRPr="007307B7">
              <w:rPr>
                <w:rFonts w:ascii="Times New Roman" w:hAnsi="Times New Roman" w:cs="Times New Roman"/>
                <w:sz w:val="24"/>
                <w:szCs w:val="24"/>
              </w:rPr>
              <w:t xml:space="preserve">,буд.1                                                      </w:t>
            </w:r>
          </w:p>
          <w:p w:rsidR="00F65D24" w:rsidRPr="007307B7" w:rsidRDefault="00F65D24" w:rsidP="00A96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Берегове, 90201, Україна</w:t>
            </w:r>
          </w:p>
          <w:p w:rsidR="00F65D24" w:rsidRPr="007307B7" w:rsidRDefault="00F65D24" w:rsidP="00A96BA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5D24" w:rsidRPr="00AF7D13" w:rsidRDefault="00F65D24" w:rsidP="00A96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Телефон:</w:t>
            </w:r>
            <w:r w:rsidRPr="00F83BA4">
              <w:rPr>
                <w:rFonts w:ascii="Times New Roman" w:hAnsi="Times New Roman" w:cs="Times New Roman"/>
                <w:sz w:val="24"/>
                <w:szCs w:val="24"/>
              </w:rPr>
              <w:t xml:space="preserve"> +380932795737</w:t>
            </w:r>
          </w:p>
          <w:p w:rsidR="00F65D24" w:rsidRPr="00C817E3" w:rsidRDefault="00F65D24" w:rsidP="00A96BA7">
            <w:pPr>
              <w:rPr>
                <w:b/>
                <w:color w:val="FF0000"/>
                <w:sz w:val="20"/>
                <w:szCs w:val="20"/>
              </w:rPr>
            </w:pPr>
            <w:r w:rsidRPr="00AF7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7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730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berehivske</w:t>
            </w:r>
            <w:proofErr w:type="spellEnd"/>
            <w:r w:rsidRPr="00730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legalaid</w:t>
            </w:r>
            <w:proofErr w:type="spellEnd"/>
            <w:r w:rsidRPr="00730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3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730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3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5922" w:type="dxa"/>
            <w:hideMark/>
          </w:tcPr>
          <w:p w:rsidR="00F65D24" w:rsidRPr="007307B7" w:rsidRDefault="00F65D24" w:rsidP="00A96BA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    </w:t>
            </w:r>
            <w:r w:rsidRPr="007307B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Відділ «Берегівське бюро правової допомоги»</w:t>
            </w:r>
          </w:p>
          <w:p w:rsidR="00F65D24" w:rsidRPr="00C53CF4" w:rsidRDefault="00F65D24" w:rsidP="00A96BA7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85506F" wp14:editId="3D6B93CF">
                  <wp:extent cx="3657600" cy="91396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058" cy="91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24" w:rsidRDefault="00F65D24" w:rsidP="00F65D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34C1A" w:rsidRDefault="00D34C1A" w:rsidP="00D34C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C1A">
        <w:rPr>
          <w:rFonts w:ascii="Times New Roman" w:hAnsi="Times New Roman" w:cs="Times New Roman"/>
          <w:b/>
          <w:sz w:val="28"/>
          <w:szCs w:val="28"/>
          <w:lang w:val="uk-UA"/>
        </w:rPr>
        <w:t>Порядок призначення і виплати державної соціальної допомоги малозабезпеченим сім’ям</w:t>
      </w:r>
    </w:p>
    <w:p w:rsidR="00D34C1A" w:rsidRPr="00AB5719" w:rsidRDefault="00D34C1A" w:rsidP="00AB571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C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Державна соціальна допомога малозабезпеченим сім’ям − щомісячна допомога, яка надається малозабезпеченим сім’ям у грошовій формі в розмірі, що залежить від величини середньомісячного сукупного доходу сім’ї. </w:t>
      </w:r>
    </w:p>
    <w:p w:rsidR="00D34C1A" w:rsidRPr="00D34C1A" w:rsidRDefault="00D34C1A" w:rsidP="00AB571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Закону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Закон)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C1A" w:rsidRPr="00D34C1A" w:rsidRDefault="00D34C1A" w:rsidP="00AB571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C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бюджет України на 2021 рік» у 2021 році рівень забезпечення прожиткового мінімуму (гарантований мінімум) для призначення допомоги відповідно до Закону у відсотковому співвідношенні до прожиткового мінімуму для основних соціальних і демографічних груп населення становить: для працездатних осіб – 35 відсотків, для дітей:– 130 відсотків; для осіб, які втратили працездатність, та осіб з інвалідністю – 100 відсотків відповідного прожиткового мінімуму.</w:t>
      </w:r>
    </w:p>
    <w:p w:rsidR="00D34C1A" w:rsidRPr="00D34C1A" w:rsidRDefault="00D34C1A" w:rsidP="00AB571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2021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становитимуть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4C1A" w:rsidRPr="00D34C1A" w:rsidRDefault="00D34C1A" w:rsidP="00D3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для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працездатних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осіб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(35 %)</w:t>
      </w: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(794,50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(832,65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(868,35 грн.);</w:t>
      </w:r>
    </w:p>
    <w:p w:rsidR="00D34C1A" w:rsidRPr="00D34C1A" w:rsidRDefault="00D34C1A" w:rsidP="00D3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для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осіб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втратили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працездатність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(100%)</w:t>
      </w: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(1769,00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(1854,00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(1934,00 грн.);</w:t>
      </w:r>
    </w:p>
    <w:p w:rsidR="00D34C1A" w:rsidRPr="00D34C1A" w:rsidRDefault="00D34C1A" w:rsidP="00D3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130% для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дітей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віком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34C1A" w:rsidRPr="00D34C1A" w:rsidRDefault="00D34C1A" w:rsidP="00D34C1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6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років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(2497,30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(2616,90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(2730,00 грн.);</w:t>
      </w:r>
    </w:p>
    <w:p w:rsidR="00D34C1A" w:rsidRPr="00D34C1A" w:rsidRDefault="00D34C1A" w:rsidP="00D34C1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6 до 18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років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(3113,50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(3263,00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(3403,40 грн.);</w:t>
      </w:r>
    </w:p>
    <w:p w:rsidR="00D34C1A" w:rsidRPr="00D34C1A" w:rsidRDefault="00D34C1A" w:rsidP="00D34C1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18 до 23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рокі</w:t>
      </w:r>
      <w:proofErr w:type="gram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(за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умови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навчання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(2951,00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(3092,70 грн.),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(3225,30 грн.).</w:t>
      </w:r>
    </w:p>
    <w:p w:rsidR="00D34C1A" w:rsidRDefault="00D34C1A" w:rsidP="00AB5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Строк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карантином,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перерахунку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</w:t>
      </w:r>
      <w:r w:rsidRPr="00D34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Закону).</w:t>
      </w:r>
    </w:p>
    <w:p w:rsidR="00AB5719" w:rsidRPr="00D34C1A" w:rsidRDefault="00AB5719" w:rsidP="00AB5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C1A" w:rsidRPr="00D34C1A" w:rsidRDefault="00D34C1A" w:rsidP="00AB5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складу </w:t>
      </w:r>
      <w:proofErr w:type="spellStart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включаються</w:t>
      </w:r>
      <w:proofErr w:type="spellEnd"/>
      <w:r w:rsidRPr="00D34C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D34C1A" w:rsidRPr="00D34C1A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дружина;</w:t>
      </w:r>
    </w:p>
    <w:p w:rsidR="00D34C1A" w:rsidRPr="00D34C1A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усиновлені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вісімнадцяти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денною формою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C1A" w:rsidRPr="00D34C1A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неодружені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II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батьками;</w:t>
      </w:r>
    </w:p>
    <w:p w:rsidR="00D34C1A" w:rsidRPr="00D34C1A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ними і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C1A" w:rsidRPr="00D34C1A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особа, яка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одинокою особою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догляд за нею;</w:t>
      </w:r>
      <w:proofErr w:type="gramEnd"/>
    </w:p>
    <w:p w:rsidR="00D34C1A" w:rsidRPr="00AB5719" w:rsidRDefault="00D34C1A" w:rsidP="00AB57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сім’єю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19" w:rsidRPr="00D34C1A" w:rsidRDefault="00AB5719" w:rsidP="00AB57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1A" w:rsidRPr="00D34C1A" w:rsidRDefault="00D34C1A" w:rsidP="00AB5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Куди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звертатися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 за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?</w:t>
      </w:r>
    </w:p>
    <w:p w:rsidR="00D34C1A" w:rsidRP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4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місцем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реєстрації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19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неотримання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D34C1A" w:rsidRP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неотримання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</w:t>
      </w:r>
    </w:p>
    <w:p w:rsidR="00D34C1A" w:rsidRPr="00D34C1A" w:rsidRDefault="00AB5719" w:rsidP="00AB5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заяви з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для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виконавчими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ради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C1A" w:rsidRDefault="00AB5719" w:rsidP="00AB5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сільській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з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для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та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виконавчі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уповноважену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для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D34C1A"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19" w:rsidRPr="00D34C1A" w:rsidRDefault="00AB5719" w:rsidP="00AB5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C1A" w:rsidRP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Перелі</w:t>
      </w:r>
      <w:proofErr w:type="gram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документів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необхідних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отримання</w:t>
      </w:r>
      <w:proofErr w:type="spellEnd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допомоги</w:t>
      </w:r>
      <w:proofErr w:type="spellEnd"/>
    </w:p>
    <w:p w:rsidR="00D34C1A" w:rsidRP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доходи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заяви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4C1A" w:rsidRPr="00D34C1A" w:rsidRDefault="00D34C1A" w:rsidP="00AB57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C1A" w:rsidRPr="00D34C1A" w:rsidRDefault="00D34C1A" w:rsidP="00AB57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склад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C1A" w:rsidRPr="00D34C1A" w:rsidRDefault="00D34C1A" w:rsidP="00AB57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довідок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кожного члена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34C1A" w:rsidRPr="00D34C1A" w:rsidRDefault="00D34C1A" w:rsidP="00AB57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(паю);</w:t>
      </w:r>
    </w:p>
    <w:p w:rsidR="00D34C1A" w:rsidRPr="00D34C1A" w:rsidRDefault="00D34C1A" w:rsidP="00AB571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особи в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в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4C1A" w:rsidRP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декларацію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7" w:history="1"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України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“Про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державну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соціальну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допомогу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малозабезпеченим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сім’ям</w:t>
        </w:r>
        <w:proofErr w:type="spellEnd"/>
        <w:r w:rsidRPr="00D34C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”</w:t>
        </w:r>
      </w:hyperlink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нарахована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субсидія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спожиті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сплачені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аліменти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C1A" w:rsidRDefault="00D34C1A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видано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D3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19" w:rsidRPr="00D34C1A" w:rsidRDefault="00AB5719" w:rsidP="00AB57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4C1A" w:rsidRPr="00D34C1A" w:rsidRDefault="00AB5719" w:rsidP="00AB5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Випадки, коли допомога не призначається</w:t>
      </w:r>
    </w:p>
    <w:p w:rsidR="00AB5719" w:rsidRPr="00AB5719" w:rsidRDefault="00AB5719" w:rsidP="00DA0675">
      <w:pPr>
        <w:numPr>
          <w:ilvl w:val="0"/>
          <w:numId w:val="6"/>
        </w:numPr>
        <w:shd w:val="clear" w:color="auto" w:fill="FFFFFF"/>
        <w:tabs>
          <w:tab w:val="clear" w:pos="4613"/>
          <w:tab w:val="num" w:pos="-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працездатні члени малозабезпеченої сім’ї не працюють, не служать, не навчаються у вищих навчальних закладах </w:t>
      </w: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рівнів акредитації та професійно-технічних навчальних закладах з денною формою навчання протягом трьох місяців, що передують місяцю звернення за призначенням соціальної допомоги;</w:t>
      </w:r>
    </w:p>
    <w:p w:rsidR="00AB5719" w:rsidRPr="00AB5719" w:rsidRDefault="00AB5719" w:rsidP="00DA0675">
      <w:pPr>
        <w:numPr>
          <w:ilvl w:val="0"/>
          <w:numId w:val="6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матеріально-побутових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з’ясовано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доходи та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719" w:rsidRPr="00AB5719" w:rsidRDefault="00AB5719" w:rsidP="00DA0675">
      <w:pPr>
        <w:numPr>
          <w:ilvl w:val="0"/>
          <w:numId w:val="6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здійснили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транспортного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вжитку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суму, яка на час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10-кратну величину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таких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матеріально-побутових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719" w:rsidRPr="00AB5719" w:rsidRDefault="00AB5719" w:rsidP="00DA0675">
      <w:pPr>
        <w:numPr>
          <w:ilvl w:val="0"/>
          <w:numId w:val="6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друга квартира (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квадратний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 на одного члена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 квадратного метра на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м’ю</w:t>
      </w:r>
      <w:proofErr w:type="spellEnd"/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транспортного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B5719" w:rsidRPr="00AB5719" w:rsidRDefault="00AB5719" w:rsidP="00DA0675">
      <w:pPr>
        <w:numPr>
          <w:ilvl w:val="0"/>
          <w:numId w:val="6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є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більше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ніж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один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автомобіль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транспортний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засіб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ідлягає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минуло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крім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мопеда і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причепа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19" w:rsidRDefault="00DA0675" w:rsidP="00DA0675">
      <w:pPr>
        <w:shd w:val="clear" w:color="auto" w:fill="FFFFFF"/>
        <w:tabs>
          <w:tab w:val="num" w:pos="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цьому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враховуються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транспортні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засоби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отримані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безоплатно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придбані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ільгових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умовах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соціального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захисту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населення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 тому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рахунок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грошової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допомоги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придбання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автомобіля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транспортні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засоби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придбані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батьками -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вихователями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дитячих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будинків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сімейного</w:t>
      </w:r>
      <w:proofErr w:type="spellEnd"/>
      <w:r w:rsidR="00AB5719"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типу.</w:t>
      </w:r>
    </w:p>
    <w:p w:rsidR="00DA0675" w:rsidRPr="00DA0675" w:rsidRDefault="00DA0675" w:rsidP="00DA0675">
      <w:pPr>
        <w:shd w:val="clear" w:color="auto" w:fill="FFFFFF"/>
        <w:tabs>
          <w:tab w:val="num" w:pos="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AB5719" w:rsidRPr="00AB5719" w:rsidRDefault="00AB5719" w:rsidP="00DA067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Наявність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відсутність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у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власності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членів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малозабезпеченої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транспортних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засобів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зазначається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декларації</w:t>
      </w:r>
      <w:proofErr w:type="spellEnd"/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5719" w:rsidRPr="00AB5719" w:rsidRDefault="00AB5719" w:rsidP="00DA067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коли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бути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призначена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органом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держадміністрацій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комітетів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рад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коли: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особа з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малозабезпеченій багатодітній сім'ї виховуються троє або більше дітей віком до 18 років (якщо діти навчаються за денною формою навчання у закладах загальної середньої, професійної (професійно-технічної) та вищої освіти, але не довше ніж до досягнення ними 23 років);</w:t>
      </w:r>
    </w:p>
    <w:p w:rsid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неможливість отримання будь-яких джерел для існування пов’язана з тривалою хворобою одного та/або кількох членів сім’ї. Рішення про призначення державної соціальної допомоги у таких випадках приймається на підставі обстеження матеріально-побутових умов сім’ї, яка звернулася за призначенням такої допомоги.</w:t>
      </w:r>
    </w:p>
    <w:p w:rsidR="00DA0675" w:rsidRPr="00AB5719" w:rsidRDefault="00DA0675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5719" w:rsidRPr="00AB5719" w:rsidRDefault="00AB5719" w:rsidP="00DA0675">
      <w:pPr>
        <w:pBdr>
          <w:bottom w:val="single" w:sz="6" w:space="0" w:color="A2A9B1"/>
        </w:pBdr>
        <w:shd w:val="clear" w:color="auto" w:fill="FFFFFF"/>
        <w:tabs>
          <w:tab w:val="num" w:pos="0"/>
        </w:tabs>
        <w:spacing w:after="0" w:line="240" w:lineRule="auto"/>
        <w:ind w:hanging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Умови</w:t>
      </w:r>
      <w:proofErr w:type="spellEnd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припинення</w:t>
      </w:r>
      <w:proofErr w:type="spellEnd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виплати</w:t>
      </w:r>
      <w:proofErr w:type="spellEnd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допомоги</w:t>
      </w:r>
      <w:proofErr w:type="spellEnd"/>
      <w:r w:rsidR="00DA06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сім’єю приховано або навмисно подано недостовірні дані про її доходи та майновий стан, що вплинули на встановлення права на соціальну допомогу і визначення її розміру, внаслідок чого були надміру виплачені кошти, з місяця, в якому виявлено порушення. </w:t>
      </w: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раніше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ніж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шість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місяців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починаючи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першого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числа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місяця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якому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виявлено</w:t>
      </w:r>
      <w:proofErr w:type="spellEnd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порушення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переїзду сім’ї в іншу місцевість та настання обставин, що унеможливлюють виплату соціальної допомоги (зокрема, смерть одинокої особи), — з місяця, що настає за місяцем, в якому відбулися зміни;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обумовлено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gram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</w:t>
      </w:r>
      <w:proofErr w:type="gram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675" w:rsidRDefault="00DA0675" w:rsidP="00DA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A0675" w:rsidRDefault="00DA0675" w:rsidP="00DA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Безвідсоткова поворотна допомога для організації власної справи:</w:t>
      </w:r>
    </w:p>
    <w:p w:rsidR="00DA0675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метою сприяння економічній самостійності малозабезпеченої сім’ї</w:t>
      </w:r>
      <w:r w:rsidRPr="00AB57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57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непрацюючій працездатній особі з числа членів такої сім’ї</w:t>
      </w: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бажає провадити підприємницьку діяльність, у порядку, визначеному Кабінетом Міністрів України, державною службою зайнятості може надаватися одноразова безвідсоткова поворотна допомога на здобуття економічної самостійності малозабезпеченої сім’ї за рахунок коштів державного бюджету.</w:t>
      </w:r>
    </w:p>
    <w:p w:rsidR="00AB5719" w:rsidRPr="00AB5719" w:rsidRDefault="00AB5719" w:rsidP="00DA06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5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надання допомоги на здобуття економічної самостійності малозабезпеченої сім’ї, її розмір та умови повернення визначаються Кабінетом Міністрів України</w:t>
      </w:r>
    </w:p>
    <w:sectPr w:rsidR="00AB5719" w:rsidRPr="00AB5719" w:rsidSect="00DA06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30"/>
    <w:multiLevelType w:val="multilevel"/>
    <w:tmpl w:val="BC00F034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053"/>
        </w:tabs>
        <w:ind w:left="605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493"/>
        </w:tabs>
        <w:ind w:left="749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13"/>
        </w:tabs>
        <w:ind w:left="821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653"/>
        </w:tabs>
        <w:ind w:left="965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373"/>
        </w:tabs>
        <w:ind w:left="10373" w:hanging="360"/>
      </w:pPr>
      <w:rPr>
        <w:rFonts w:ascii="Symbol" w:hAnsi="Symbol" w:hint="default"/>
        <w:sz w:val="20"/>
      </w:rPr>
    </w:lvl>
  </w:abstractNum>
  <w:abstractNum w:abstractNumId="1">
    <w:nsid w:val="16057704"/>
    <w:multiLevelType w:val="multilevel"/>
    <w:tmpl w:val="69A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606"/>
    <w:multiLevelType w:val="multilevel"/>
    <w:tmpl w:val="C024C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929A7"/>
    <w:multiLevelType w:val="multilevel"/>
    <w:tmpl w:val="5B5E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45724"/>
    <w:multiLevelType w:val="multilevel"/>
    <w:tmpl w:val="7F7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487CE7"/>
    <w:multiLevelType w:val="multilevel"/>
    <w:tmpl w:val="01F6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331D1"/>
    <w:multiLevelType w:val="multilevel"/>
    <w:tmpl w:val="99E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670"/>
    <w:multiLevelType w:val="multilevel"/>
    <w:tmpl w:val="704A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50"/>
    <w:rsid w:val="00334D33"/>
    <w:rsid w:val="00916450"/>
    <w:rsid w:val="00AB5719"/>
    <w:rsid w:val="00D34C1A"/>
    <w:rsid w:val="00DA0675"/>
    <w:rsid w:val="00EE6524"/>
    <w:rsid w:val="00F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C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65D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5D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C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65D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5D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24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590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858">
              <w:marLeft w:val="0"/>
              <w:marRight w:val="0"/>
              <w:marTop w:val="16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181">
              <w:marLeft w:val="0"/>
              <w:marRight w:val="0"/>
              <w:marTop w:val="525"/>
              <w:marBottom w:val="0"/>
              <w:divBdr>
                <w:top w:val="dotted" w:sz="6" w:space="0" w:color="FFC000"/>
                <w:left w:val="dotted" w:sz="6" w:space="0" w:color="FFC000"/>
                <w:bottom w:val="dotted" w:sz="6" w:space="0" w:color="FFC000"/>
                <w:right w:val="dotted" w:sz="6" w:space="0" w:color="FFC000"/>
              </w:divBdr>
            </w:div>
            <w:div w:id="1397124236">
              <w:marLeft w:val="0"/>
              <w:marRight w:val="0"/>
              <w:marTop w:val="54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76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2021-09-21T20:47:00Z</dcterms:created>
  <dcterms:modified xsi:type="dcterms:W3CDTF">2021-09-21T21:17:00Z</dcterms:modified>
</cp:coreProperties>
</file>